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F" w:rsidRPr="00EC72EF" w:rsidRDefault="00EC72EF">
      <w:pPr>
        <w:rPr>
          <w:b/>
          <w:sz w:val="40"/>
          <w:szCs w:val="40"/>
        </w:rPr>
      </w:pPr>
      <w:r w:rsidRPr="00EC72EF">
        <w:rPr>
          <w:b/>
          <w:sz w:val="24"/>
          <w:szCs w:val="24"/>
        </w:rPr>
        <w:t xml:space="preserve">                                                          </w:t>
      </w:r>
      <w:r w:rsidRPr="00EC72EF">
        <w:rPr>
          <w:b/>
          <w:sz w:val="40"/>
          <w:szCs w:val="40"/>
        </w:rPr>
        <w:t>Cour</w:t>
      </w:r>
      <w:r>
        <w:rPr>
          <w:b/>
          <w:sz w:val="40"/>
          <w:szCs w:val="40"/>
        </w:rPr>
        <w:t>s</w:t>
      </w:r>
      <w:r w:rsidRPr="00EC72EF">
        <w:rPr>
          <w:b/>
          <w:sz w:val="40"/>
          <w:szCs w:val="40"/>
        </w:rPr>
        <w:t xml:space="preserve"> numéro </w:t>
      </w:r>
      <w:r w:rsidR="00C30556">
        <w:rPr>
          <w:b/>
          <w:sz w:val="40"/>
          <w:szCs w:val="40"/>
        </w:rPr>
        <w:t>0</w:t>
      </w:r>
      <w:r w:rsidR="001723AE">
        <w:rPr>
          <w:b/>
          <w:sz w:val="40"/>
          <w:szCs w:val="40"/>
        </w:rPr>
        <w:t>2</w:t>
      </w:r>
      <w:bookmarkStart w:id="0" w:name="_GoBack"/>
      <w:bookmarkEnd w:id="0"/>
      <w:r>
        <w:rPr>
          <w:b/>
          <w:sz w:val="40"/>
          <w:szCs w:val="40"/>
        </w:rPr>
        <w:t> :</w:t>
      </w:r>
    </w:p>
    <w:p w:rsidR="00F9567D" w:rsidRPr="00C30556" w:rsidRDefault="00EC7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91E3B">
        <w:rPr>
          <w:sz w:val="24"/>
          <w:szCs w:val="24"/>
        </w:rPr>
        <w:t xml:space="preserve">  </w:t>
      </w:r>
      <w:r w:rsidR="00610BE2" w:rsidRPr="00EC72EF">
        <w:rPr>
          <w:sz w:val="36"/>
          <w:szCs w:val="36"/>
        </w:rPr>
        <w:t xml:space="preserve">Cours de </w:t>
      </w:r>
      <w:r w:rsidRPr="00EC72EF">
        <w:rPr>
          <w:sz w:val="36"/>
          <w:szCs w:val="36"/>
        </w:rPr>
        <w:t xml:space="preserve">M. Mihoub </w:t>
      </w:r>
      <w:r w:rsidR="00610BE2" w:rsidRPr="00EC72EF">
        <w:rPr>
          <w:sz w:val="36"/>
          <w:szCs w:val="36"/>
        </w:rPr>
        <w:t xml:space="preserve"> Med Larbi</w:t>
      </w:r>
      <w:r w:rsidR="00691E3B" w:rsidRPr="00EC72EF">
        <w:rPr>
          <w:sz w:val="36"/>
          <w:szCs w:val="36"/>
        </w:rPr>
        <w:t xml:space="preserve">   </w:t>
      </w:r>
    </w:p>
    <w:p w:rsidR="00F9567D" w:rsidRDefault="00F9567D">
      <w:pPr>
        <w:rPr>
          <w:sz w:val="24"/>
          <w:szCs w:val="24"/>
        </w:rPr>
      </w:pPr>
    </w:p>
    <w:p w:rsidR="003E153C" w:rsidRPr="0060678B" w:rsidRDefault="00691E3B">
      <w:pPr>
        <w:rPr>
          <w:sz w:val="36"/>
          <w:szCs w:val="36"/>
        </w:rPr>
      </w:pPr>
      <w:r>
        <w:rPr>
          <w:sz w:val="24"/>
          <w:szCs w:val="24"/>
        </w:rPr>
        <w:t xml:space="preserve"> </w:t>
      </w:r>
      <w:r w:rsidR="00EC72E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Pr="0060678B">
        <w:rPr>
          <w:sz w:val="36"/>
          <w:szCs w:val="36"/>
        </w:rPr>
        <w:t>Suite Partie Matériaux Magnétiques</w:t>
      </w:r>
    </w:p>
    <w:p w:rsidR="00691E3B" w:rsidRPr="00EC72EF" w:rsidRDefault="00691E3B">
      <w:pPr>
        <w:rPr>
          <w:b/>
          <w:sz w:val="44"/>
          <w:szCs w:val="44"/>
        </w:rPr>
      </w:pPr>
      <w:r w:rsidRPr="00EC72EF">
        <w:rPr>
          <w:b/>
          <w:sz w:val="44"/>
          <w:szCs w:val="44"/>
        </w:rPr>
        <w:t xml:space="preserve">    </w:t>
      </w:r>
      <w:r w:rsidR="0060678B" w:rsidRPr="00EC72EF">
        <w:rPr>
          <w:b/>
          <w:sz w:val="44"/>
          <w:szCs w:val="44"/>
        </w:rPr>
        <w:t xml:space="preserve">     </w:t>
      </w:r>
      <w:r w:rsidR="00EC72EF" w:rsidRPr="00EC72EF">
        <w:rPr>
          <w:b/>
          <w:sz w:val="44"/>
          <w:szCs w:val="44"/>
        </w:rPr>
        <w:t xml:space="preserve"> </w:t>
      </w:r>
      <w:r w:rsidR="00EC72EF">
        <w:rPr>
          <w:b/>
          <w:sz w:val="44"/>
          <w:szCs w:val="44"/>
        </w:rPr>
        <w:t xml:space="preserve">    </w:t>
      </w:r>
      <w:r w:rsidR="00EC72EF" w:rsidRPr="00EC72EF">
        <w:rPr>
          <w:b/>
          <w:sz w:val="44"/>
          <w:szCs w:val="44"/>
        </w:rPr>
        <w:t xml:space="preserve">  </w:t>
      </w:r>
      <w:r w:rsidR="0060678B" w:rsidRPr="00EC72EF">
        <w:rPr>
          <w:b/>
          <w:sz w:val="44"/>
          <w:szCs w:val="44"/>
        </w:rPr>
        <w:t xml:space="preserve"> </w:t>
      </w:r>
      <w:r w:rsidRPr="00EC72EF">
        <w:rPr>
          <w:b/>
          <w:sz w:val="44"/>
          <w:szCs w:val="44"/>
        </w:rPr>
        <w:t xml:space="preserve"> III.13. Magnétisme microscopique </w:t>
      </w:r>
    </w:p>
    <w:p w:rsidR="00691E3B" w:rsidRPr="0060678B" w:rsidRDefault="0060678B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691E3B" w:rsidRPr="0060678B">
        <w:rPr>
          <w:sz w:val="28"/>
          <w:szCs w:val="28"/>
        </w:rPr>
        <w:t>Existence des domaines élémentaires :</w:t>
      </w:r>
    </w:p>
    <w:p w:rsidR="00691E3B" w:rsidRDefault="0060678B" w:rsidP="00B135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91E3B">
        <w:rPr>
          <w:sz w:val="24"/>
          <w:szCs w:val="24"/>
        </w:rPr>
        <w:t xml:space="preserve">Un matériau </w:t>
      </w:r>
      <w:r w:rsidR="00945E61">
        <w:rPr>
          <w:sz w:val="24"/>
          <w:szCs w:val="24"/>
        </w:rPr>
        <w:t>Ferro ou fer</w:t>
      </w:r>
      <w:r w:rsidR="00691E3B">
        <w:rPr>
          <w:sz w:val="24"/>
          <w:szCs w:val="24"/>
        </w:rPr>
        <w:t>romagnétique</w:t>
      </w:r>
      <w:r w:rsidR="00945E61">
        <w:rPr>
          <w:sz w:val="24"/>
          <w:szCs w:val="24"/>
        </w:rPr>
        <w:t xml:space="preserve"> de volume suffisant</w:t>
      </w:r>
      <w:r w:rsidR="00691E3B">
        <w:rPr>
          <w:sz w:val="24"/>
          <w:szCs w:val="24"/>
        </w:rPr>
        <w:t xml:space="preserve"> se divise </w:t>
      </w:r>
      <w:r w:rsidR="00945E61">
        <w:rPr>
          <w:sz w:val="24"/>
          <w:szCs w:val="24"/>
        </w:rPr>
        <w:t>spontanément en un  grand nombre de régions plus petites qu’on appelle les domaines élémentaires</w:t>
      </w:r>
      <w:r w:rsidR="0015383B">
        <w:rPr>
          <w:sz w:val="24"/>
          <w:szCs w:val="24"/>
        </w:rPr>
        <w:t xml:space="preserve"> </w:t>
      </w:r>
      <w:r w:rsidR="00175167">
        <w:rPr>
          <w:sz w:val="24"/>
          <w:szCs w:val="24"/>
        </w:rPr>
        <w:t>(Fig.11)</w:t>
      </w:r>
      <w:r w:rsidR="00945E61">
        <w:rPr>
          <w:sz w:val="24"/>
          <w:szCs w:val="24"/>
        </w:rPr>
        <w:t>.</w:t>
      </w:r>
    </w:p>
    <w:p w:rsidR="00945E61" w:rsidRPr="00C85998" w:rsidRDefault="00945E61" w:rsidP="00B135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678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A l’intérieur d’un domaine, tous les moments magnétiques sont parallèles de telle sorte que l</w:t>
      </w:r>
      <w:r w:rsidR="00C85998">
        <w:rPr>
          <w:sz w:val="24"/>
          <w:szCs w:val="24"/>
        </w:rPr>
        <w:t>’aimantation d’un domaine est exactement l’aimantation à saturation J</w:t>
      </w:r>
      <w:r w:rsidR="00C85998">
        <w:rPr>
          <w:sz w:val="24"/>
          <w:szCs w:val="24"/>
          <w:vertAlign w:val="subscript"/>
        </w:rPr>
        <w:t xml:space="preserve">S  </w:t>
      </w:r>
      <w:r w:rsidR="00C85998">
        <w:rPr>
          <w:sz w:val="24"/>
          <w:szCs w:val="24"/>
        </w:rPr>
        <w:t>et entre  deux domaines c’est l’orientation de J</w:t>
      </w:r>
      <w:r w:rsidR="00C85998">
        <w:rPr>
          <w:sz w:val="24"/>
          <w:szCs w:val="24"/>
          <w:vertAlign w:val="subscript"/>
        </w:rPr>
        <w:t xml:space="preserve">S.  </w:t>
      </w:r>
    </w:p>
    <w:p w:rsidR="00C85998" w:rsidRDefault="00C85998" w:rsidP="00B1352C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</w:t>
      </w:r>
      <w:r w:rsidR="0060678B">
        <w:rPr>
          <w:sz w:val="24"/>
          <w:szCs w:val="24"/>
          <w:vertAlign w:val="subscript"/>
        </w:rPr>
        <w:t xml:space="preserve">                               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Une telle structure </w:t>
      </w:r>
      <w:r w:rsidR="0007293A">
        <w:rPr>
          <w:sz w:val="24"/>
          <w:szCs w:val="24"/>
        </w:rPr>
        <w:t xml:space="preserve">à une échelle intermédiaire entre l’échelle atomique d’une part et notre échelle d’autre part, à était introduite par P.WEISS en 1907. En même temps que les champs moléculaires, pour expliquer comment une substance ferromagnétique </w:t>
      </w:r>
      <w:r w:rsidR="006067F7">
        <w:rPr>
          <w:sz w:val="24"/>
          <w:szCs w:val="24"/>
        </w:rPr>
        <w:t>peut ne pas être toujours aimantée à saturation. Cette idée n’a reçue pendant très longtemps qu’un accueil très sceptique au moins jusqu’à ce que BITTER observe les premiers domaines vers 1932 – 1933, or cette subdivision en domaines n’est nullement qu’un caprice</w:t>
      </w:r>
      <w:r w:rsidR="0060678B">
        <w:rPr>
          <w:sz w:val="24"/>
          <w:szCs w:val="24"/>
        </w:rPr>
        <w:t xml:space="preserve"> de la nature, c’est un phénomène logique : les domaines élémentaires prennent naissance spontanément car cela permet d’abaisser l’énergie du système en particulier son énergie magnétostatique. </w:t>
      </w:r>
    </w:p>
    <w:p w:rsidR="00B1352C" w:rsidRDefault="00B1352C" w:rsidP="00B1352C">
      <w:pPr>
        <w:spacing w:line="480" w:lineRule="auto"/>
        <w:rPr>
          <w:sz w:val="28"/>
          <w:szCs w:val="28"/>
        </w:rPr>
      </w:pPr>
      <w:r w:rsidRPr="00B1352C">
        <w:rPr>
          <w:sz w:val="28"/>
          <w:szCs w:val="28"/>
        </w:rPr>
        <w:t xml:space="preserve"> La genèse des domaines :</w:t>
      </w:r>
      <w:r w:rsidR="00C30556">
        <w:rPr>
          <w:sz w:val="28"/>
          <w:szCs w:val="28"/>
        </w:rPr>
        <w:t xml:space="preserve"> </w:t>
      </w:r>
    </w:p>
    <w:p w:rsidR="00C30556" w:rsidRDefault="00C30556" w:rsidP="00B1352C">
      <w:pPr>
        <w:spacing w:line="480" w:lineRule="auto"/>
        <w:rPr>
          <w:sz w:val="28"/>
          <w:szCs w:val="28"/>
        </w:rPr>
      </w:pPr>
    </w:p>
    <w:p w:rsidR="00B1352C" w:rsidRDefault="00B1352C" w:rsidP="00B1352C">
      <w:pPr>
        <w:spacing w:line="480" w:lineRule="auto"/>
        <w:rPr>
          <w:sz w:val="24"/>
          <w:szCs w:val="24"/>
        </w:rPr>
      </w:pPr>
      <w:r w:rsidRPr="00B1352C">
        <w:rPr>
          <w:sz w:val="24"/>
          <w:szCs w:val="24"/>
        </w:rPr>
        <w:t xml:space="preserve">         La structure en domaines</w:t>
      </w:r>
      <w:r>
        <w:rPr>
          <w:sz w:val="24"/>
          <w:szCs w:val="24"/>
        </w:rPr>
        <w:t xml:space="preserve"> a une échelle intermédiaire </w:t>
      </w:r>
      <w:r w:rsidRPr="00B1352C">
        <w:rPr>
          <w:sz w:val="24"/>
          <w:szCs w:val="24"/>
        </w:rPr>
        <w:t xml:space="preserve"> qu’on appelle ici</w:t>
      </w:r>
      <w:r>
        <w:rPr>
          <w:sz w:val="24"/>
          <w:szCs w:val="24"/>
        </w:rPr>
        <w:t xml:space="preserve"> échelle macroscopique, n’est autre qu’u</w:t>
      </w:r>
      <w:r w:rsidR="00FA385A">
        <w:rPr>
          <w:sz w:val="24"/>
          <w:szCs w:val="24"/>
        </w:rPr>
        <w:t xml:space="preserve">n </w:t>
      </w:r>
      <w:r>
        <w:rPr>
          <w:sz w:val="24"/>
          <w:szCs w:val="24"/>
        </w:rPr>
        <w:t>conflit permanant entre tendance opposées.</w:t>
      </w:r>
    </w:p>
    <w:p w:rsidR="00FA385A" w:rsidRPr="007B05A1" w:rsidRDefault="005F7B20" w:rsidP="00B1352C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1006643</wp:posOffset>
                </wp:positionH>
                <wp:positionV relativeFrom="paragraph">
                  <wp:posOffset>1153292</wp:posOffset>
                </wp:positionV>
                <wp:extent cx="155275" cy="0"/>
                <wp:effectExtent l="0" t="76200" r="1651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79.25pt;margin-top:90.8pt;width:12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FA385A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1256809</wp:posOffset>
                </wp:positionH>
                <wp:positionV relativeFrom="paragraph">
                  <wp:posOffset>394167</wp:posOffset>
                </wp:positionV>
                <wp:extent cx="120770" cy="0"/>
                <wp:effectExtent l="0" t="76200" r="1270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98.95pt;margin-top:31.05pt;width: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 w:rsidR="00FB64EC" w:rsidRPr="00C90C6C">
        <w:rPr>
          <w:sz w:val="24"/>
          <w:szCs w:val="24"/>
        </w:rPr>
        <w:t>D’u</w:t>
      </w:r>
      <w:r w:rsidR="00B1352C" w:rsidRPr="00C90C6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B1352C" w:rsidRPr="00C90C6C">
        <w:rPr>
          <w:sz w:val="24"/>
          <w:szCs w:val="24"/>
        </w:rPr>
        <w:t xml:space="preserve"> part, l’énergie </w:t>
      </w:r>
      <w:r w:rsidR="005D039E">
        <w:rPr>
          <w:sz w:val="24"/>
          <w:szCs w:val="24"/>
        </w:rPr>
        <w:t>d’échange</w:t>
      </w:r>
      <w:r w:rsidR="000B4954" w:rsidRPr="00C90C6C">
        <w:rPr>
          <w:sz w:val="24"/>
          <w:szCs w:val="24"/>
        </w:rPr>
        <w:t xml:space="preserve"> </w:t>
      </w:r>
      <w:r w:rsidR="00747921">
        <w:rPr>
          <w:sz w:val="24"/>
          <w:szCs w:val="24"/>
        </w:rPr>
        <w:t>(à</w:t>
      </w:r>
      <w:r w:rsidR="000B4954" w:rsidRPr="00C90C6C">
        <w:rPr>
          <w:sz w:val="24"/>
          <w:szCs w:val="24"/>
        </w:rPr>
        <w:t xml:space="preserve"> échelle</w:t>
      </w:r>
      <w:r w:rsidR="00FA385A">
        <w:rPr>
          <w:sz w:val="24"/>
          <w:szCs w:val="24"/>
        </w:rPr>
        <w:t xml:space="preserve"> atomique)</w:t>
      </w:r>
      <w:r w:rsidR="000B4954" w:rsidRPr="00C90C6C">
        <w:rPr>
          <w:sz w:val="24"/>
          <w:szCs w:val="24"/>
        </w:rPr>
        <w:t xml:space="preserve"> </w:t>
      </w:r>
      <w:r w:rsidR="005D039E">
        <w:rPr>
          <w:sz w:val="24"/>
          <w:szCs w:val="24"/>
        </w:rPr>
        <w:t>tend à</w:t>
      </w:r>
      <w:r w:rsidR="00FA385A">
        <w:rPr>
          <w:sz w:val="24"/>
          <w:szCs w:val="24"/>
        </w:rPr>
        <w:t xml:space="preserve"> maintenir tous les moments atomiques parallèles les uns aux autres, ce qui favorise en </w:t>
      </w:r>
      <w:r>
        <w:rPr>
          <w:sz w:val="24"/>
          <w:szCs w:val="24"/>
        </w:rPr>
        <w:t>permanence</w:t>
      </w:r>
      <w:r w:rsidR="00FA385A">
        <w:rPr>
          <w:sz w:val="24"/>
          <w:szCs w:val="24"/>
        </w:rPr>
        <w:t xml:space="preserve"> l’établissement d’une aimantation uniforme</w:t>
      </w:r>
      <w:r>
        <w:rPr>
          <w:sz w:val="24"/>
          <w:szCs w:val="24"/>
        </w:rPr>
        <w:t xml:space="preserve"> q</w:t>
      </w:r>
      <w:r w:rsidR="000B4954" w:rsidRPr="00C90C6C">
        <w:rPr>
          <w:sz w:val="24"/>
          <w:szCs w:val="24"/>
        </w:rPr>
        <w:t xml:space="preserve">ui s’oppose à une aimantation uniforme J </w:t>
      </w:r>
      <w:r>
        <w:rPr>
          <w:sz w:val="24"/>
          <w:szCs w:val="24"/>
        </w:rPr>
        <w:t xml:space="preserve"> </w:t>
      </w:r>
      <w:r w:rsidR="00C90C6C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 </w:t>
      </w:r>
      <w:proofErr w:type="gramStart"/>
      <w:r w:rsidR="00FA385A">
        <w:rPr>
          <w:sz w:val="24"/>
          <w:szCs w:val="24"/>
        </w:rPr>
        <w:t>J</w:t>
      </w:r>
      <w:r>
        <w:rPr>
          <w:sz w:val="24"/>
          <w:szCs w:val="24"/>
          <w:vertAlign w:val="subscript"/>
        </w:rPr>
        <w:t>S</w:t>
      </w:r>
      <w:r w:rsidR="00B1352C" w:rsidRPr="00C90C6C">
        <w:rPr>
          <w:sz w:val="28"/>
          <w:szCs w:val="28"/>
        </w:rPr>
        <w:t xml:space="preserve">  </w:t>
      </w:r>
      <w:r w:rsidR="00FA385A">
        <w:rPr>
          <w:sz w:val="28"/>
          <w:szCs w:val="28"/>
        </w:rPr>
        <w:t>.</w:t>
      </w:r>
      <w:proofErr w:type="gramEnd"/>
    </w:p>
    <w:p w:rsidR="007B05A1" w:rsidRDefault="005D039E" w:rsidP="00B1352C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3430665</wp:posOffset>
                </wp:positionH>
                <wp:positionV relativeFrom="paragraph">
                  <wp:posOffset>379634</wp:posOffset>
                </wp:positionV>
                <wp:extent cx="129397" cy="8627"/>
                <wp:effectExtent l="0" t="76200" r="4445" b="10604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7" cy="86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270.15pt;margin-top:29.9pt;width:10.2pt;height:.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7B05A1">
        <w:rPr>
          <w:noProof/>
          <w:sz w:val="24"/>
          <w:szCs w:val="24"/>
          <w:lang w:eastAsia="fr-FR"/>
        </w:rPr>
        <w:t>D’autre part, l’énergie</w:t>
      </w:r>
      <w:r>
        <w:rPr>
          <w:noProof/>
          <w:sz w:val="24"/>
          <w:szCs w:val="24"/>
          <w:lang w:eastAsia="fr-FR"/>
        </w:rPr>
        <w:t xml:space="preserve"> magnétostatique ( à notre échelle ), qui s’oppose à l’établissement d’une aimantation uniforme J = J</w:t>
      </w:r>
      <w:r>
        <w:rPr>
          <w:noProof/>
          <w:sz w:val="24"/>
          <w:szCs w:val="24"/>
          <w:vertAlign w:val="subscript"/>
          <w:lang w:eastAsia="fr-FR"/>
        </w:rPr>
        <w:t xml:space="preserve">S    </w:t>
      </w:r>
      <w:r>
        <w:rPr>
          <w:noProof/>
          <w:sz w:val="24"/>
          <w:szCs w:val="24"/>
          <w:lang w:eastAsia="fr-FR"/>
        </w:rPr>
        <w:t>à cause de l’énèrgie magnétostatique ( W</w:t>
      </w:r>
      <w:r>
        <w:rPr>
          <w:noProof/>
          <w:sz w:val="24"/>
          <w:szCs w:val="24"/>
          <w:vertAlign w:val="subscript"/>
          <w:lang w:eastAsia="fr-FR"/>
        </w:rPr>
        <w:t>N</w:t>
      </w:r>
      <w:r>
        <w:rPr>
          <w:noProof/>
          <w:sz w:val="24"/>
          <w:szCs w:val="24"/>
          <w:lang w:eastAsia="fr-FR"/>
        </w:rPr>
        <w:t xml:space="preserve"> ) correspondante.</w:t>
      </w:r>
    </w:p>
    <w:p w:rsidR="000A471B" w:rsidRDefault="000A471B" w:rsidP="000A471B">
      <w:pPr>
        <w:pStyle w:val="Paragraphedeliste"/>
        <w:spacing w:line="480" w:lineRule="auto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             La subdivision en domaines élémentaires, c’est le compromis trouvé par la nature entre deux tendances contradictoires. Comme dans tout compromis, aucune des deux tendances ne reçoit complète satisfation.</w:t>
      </w:r>
    </w:p>
    <w:p w:rsidR="000A471B" w:rsidRDefault="000A471B" w:rsidP="000A471B">
      <w:pPr>
        <w:pStyle w:val="Paragraphedeliste"/>
        <w:spacing w:line="480" w:lineRule="auto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            Par exemple, soit échonllon monocristalin de fer, en forme parallépipède rectangle, taillé parallèlement aux axes quartenaires du cristal.</w:t>
      </w:r>
    </w:p>
    <w:p w:rsidR="00E32F75" w:rsidRDefault="000A471B" w:rsidP="00B1352C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32F75">
        <w:rPr>
          <w:noProof/>
          <w:sz w:val="24"/>
          <w:szCs w:val="24"/>
          <w:lang w:eastAsia="fr-FR"/>
        </w:rPr>
        <w:t>L’énérgie d’égange tend à réaliser la saturation et l’anisotropie magnétocrislline tend à orienter J</w:t>
      </w:r>
      <w:r w:rsidRPr="00E32F75">
        <w:rPr>
          <w:noProof/>
          <w:sz w:val="24"/>
          <w:szCs w:val="24"/>
          <w:vertAlign w:val="subscript"/>
          <w:lang w:eastAsia="fr-FR"/>
        </w:rPr>
        <w:t>S</w:t>
      </w:r>
      <w:r w:rsidRPr="00E32F75">
        <w:rPr>
          <w:noProof/>
          <w:sz w:val="24"/>
          <w:szCs w:val="24"/>
          <w:lang w:eastAsia="fr-FR"/>
        </w:rPr>
        <w:t xml:space="preserve"> parallèlement à OZ ( Voir Fig.12)</w:t>
      </w:r>
      <w:r w:rsidR="00FD5F89" w:rsidRPr="00E32F75">
        <w:rPr>
          <w:noProof/>
          <w:sz w:val="24"/>
          <w:szCs w:val="24"/>
          <w:lang w:eastAsia="fr-FR"/>
        </w:rPr>
        <w:t xml:space="preserve"> par exemple, mais alors il y a une énèrgie magnétocristalline importante.</w:t>
      </w:r>
    </w:p>
    <w:p w:rsidR="00B1352C" w:rsidRPr="001549C0" w:rsidRDefault="00E32F75" w:rsidP="00B1352C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L’énergie magnétostatique la plus faible est obtenue quand tous les moments atomiques sont orientés au</w:t>
      </w:r>
      <w:r w:rsidR="001549C0">
        <w:rPr>
          <w:sz w:val="24"/>
          <w:szCs w:val="24"/>
        </w:rPr>
        <w:t xml:space="preserve">x </w:t>
      </w:r>
      <w:r>
        <w:rPr>
          <w:sz w:val="24"/>
          <w:szCs w:val="24"/>
        </w:rPr>
        <w:t xml:space="preserve">hasards </w:t>
      </w:r>
      <w:r w:rsidR="001549C0">
        <w:rPr>
          <w:sz w:val="24"/>
          <w:szCs w:val="24"/>
        </w:rPr>
        <w:t>(dans</w:t>
      </w:r>
      <w:r>
        <w:rPr>
          <w:sz w:val="24"/>
          <w:szCs w:val="24"/>
        </w:rPr>
        <w:t xml:space="preserve"> toutes les dir</w:t>
      </w:r>
      <w:r w:rsidR="001549C0">
        <w:rPr>
          <w:sz w:val="24"/>
          <w:szCs w:val="24"/>
        </w:rPr>
        <w:t>ections</w:t>
      </w:r>
      <w:r>
        <w:rPr>
          <w:sz w:val="24"/>
          <w:szCs w:val="24"/>
        </w:rPr>
        <w:t xml:space="preserve">). </w:t>
      </w:r>
      <w:r w:rsidR="00B1352C" w:rsidRPr="00E32F75">
        <w:rPr>
          <w:sz w:val="28"/>
          <w:szCs w:val="28"/>
        </w:rPr>
        <w:t xml:space="preserve">  </w:t>
      </w:r>
    </w:p>
    <w:p w:rsidR="001549C0" w:rsidRDefault="001549C0" w:rsidP="00B1352C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549C0">
        <w:rPr>
          <w:sz w:val="24"/>
          <w:szCs w:val="24"/>
        </w:rPr>
        <w:t>Le compromis consiste à subdiviser le monocristal en</w:t>
      </w:r>
      <w:r>
        <w:rPr>
          <w:sz w:val="24"/>
          <w:szCs w:val="24"/>
        </w:rPr>
        <w:t xml:space="preserve"> en régions plus petites aimantées chacune à saturation, mais dans des directions opposées </w:t>
      </w:r>
      <w:r w:rsidR="00A07881">
        <w:rPr>
          <w:sz w:val="24"/>
          <w:szCs w:val="24"/>
        </w:rPr>
        <w:t>(Fig.13</w:t>
      </w:r>
      <w:r>
        <w:rPr>
          <w:sz w:val="24"/>
          <w:szCs w:val="24"/>
        </w:rPr>
        <w:t>). Cette figure un partage par des p</w:t>
      </w:r>
      <w:r w:rsidR="00A07881">
        <w:rPr>
          <w:sz w:val="24"/>
          <w:szCs w:val="24"/>
        </w:rPr>
        <w:t>lans perpendiculaires à OY, d</w:t>
      </w:r>
      <w:r>
        <w:rPr>
          <w:sz w:val="24"/>
          <w:szCs w:val="24"/>
        </w:rPr>
        <w:t xml:space="preserve">’aimantation restante </w:t>
      </w:r>
      <w:r>
        <w:rPr>
          <w:sz w:val="24"/>
          <w:szCs w:val="24"/>
        </w:rPr>
        <w:lastRenderedPageBreak/>
        <w:t>parallèle à OZ</w:t>
      </w:r>
      <w:r w:rsidR="00A07881">
        <w:rPr>
          <w:sz w:val="24"/>
          <w:szCs w:val="24"/>
        </w:rPr>
        <w:t>. Si cette subdivision est assez poussée, elle permet d’abaisser notablement l’énergie magnétostatique. En effet le champ démagnétisant  H’ ou par un moment magnétique</w:t>
      </w:r>
      <w:r w:rsidR="00100051">
        <w:rPr>
          <w:sz w:val="24"/>
          <w:szCs w:val="24"/>
        </w:rPr>
        <w:t xml:space="preserve"> quelconque devient très faible sauf près des deux surfaces chargées. Cette nouvelle situation a entrainé  un accroissement de l’énergie d’échange pour tous les moments qui sont situés de part et d’autre d’une « paroi » de domaine.</w:t>
      </w:r>
    </w:p>
    <w:p w:rsidR="00100051" w:rsidRDefault="00100051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On peut également imagier une subdivision encore plus favorable pour l’énergie magnétostatique.</w:t>
      </w:r>
    </w:p>
    <w:p w:rsidR="00100051" w:rsidRPr="00743F7A" w:rsidRDefault="00743F7A" w:rsidP="00743F7A">
      <w:pPr>
        <w:spacing w:line="48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743F7A">
        <w:rPr>
          <w:sz w:val="24"/>
          <w:szCs w:val="24"/>
        </w:rPr>
        <w:t xml:space="preserve">  </w:t>
      </w:r>
      <w:r w:rsidR="00100051" w:rsidRPr="00743F7A">
        <w:rPr>
          <w:b/>
          <w:sz w:val="28"/>
          <w:szCs w:val="28"/>
        </w:rPr>
        <w:t>Paroi de BLOCK entre deux domaines (Fig.14)</w:t>
      </w:r>
      <w:r w:rsidRPr="00743F7A">
        <w:rPr>
          <w:b/>
          <w:sz w:val="28"/>
          <w:szCs w:val="28"/>
        </w:rPr>
        <w:t> :</w:t>
      </w:r>
    </w:p>
    <w:p w:rsidR="00743F7A" w:rsidRDefault="00743F7A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43F7A">
        <w:rPr>
          <w:sz w:val="24"/>
          <w:szCs w:val="24"/>
        </w:rPr>
        <w:t>On s’intéresse maintenant à la frontière entre deux domines adjacents,</w:t>
      </w:r>
      <w:r>
        <w:rPr>
          <w:sz w:val="24"/>
          <w:szCs w:val="24"/>
        </w:rPr>
        <w:t xml:space="preserve"> les moments magnétiques ne passent pas brutalement de l’orientation qui caractérise le domaine (1) à l’orientation du domaine (2). Une transition graduelle est effet favorable quand on considère l’interaction d’échange.</w:t>
      </w:r>
    </w:p>
    <w:p w:rsidR="0046669D" w:rsidRDefault="00743F7A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Imaginant une ligne d’atomes porteurs</w:t>
      </w:r>
      <w:r w:rsidR="0046669D">
        <w:rPr>
          <w:sz w:val="24"/>
          <w:szCs w:val="24"/>
        </w:rPr>
        <w:t xml:space="preserve"> de moments </w:t>
      </w:r>
      <w:r w:rsidR="00747921">
        <w:rPr>
          <w:sz w:val="24"/>
          <w:szCs w:val="24"/>
        </w:rPr>
        <w:t>appartenant</w:t>
      </w:r>
      <w:r w:rsidR="0046669D">
        <w:rPr>
          <w:sz w:val="24"/>
          <w:szCs w:val="24"/>
        </w:rPr>
        <w:t xml:space="preserve"> à deux domaines à 180°.</w:t>
      </w:r>
    </w:p>
    <w:p w:rsidR="0046669D" w:rsidRDefault="0046669D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-Dans la configuration  (a), il y a une transition brutale.</w:t>
      </w:r>
    </w:p>
    <w:p w:rsidR="0046669D" w:rsidRDefault="0046669D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Dans la configuration (b), une transition progressive sur N moments.</w:t>
      </w:r>
    </w:p>
    <w:p w:rsidR="0046669D" w:rsidRDefault="0046669D" w:rsidP="00935964">
      <w:pPr>
        <w:spacing w:line="480" w:lineRule="auto"/>
        <w:rPr>
          <w:sz w:val="24"/>
          <w:szCs w:val="24"/>
        </w:rPr>
      </w:pPr>
      <w:r w:rsidRPr="00935964">
        <w:rPr>
          <w:sz w:val="28"/>
          <w:szCs w:val="28"/>
        </w:rPr>
        <w:t>Processus d’aimantation</w:t>
      </w:r>
      <w:r w:rsidR="00935964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</w:t>
      </w:r>
      <w:r w:rsidRPr="0046669D">
        <w:rPr>
          <w:sz w:val="24"/>
          <w:szCs w:val="24"/>
        </w:rPr>
        <w:t>Les modules des</w:t>
      </w:r>
      <w:r>
        <w:rPr>
          <w:sz w:val="24"/>
          <w:szCs w:val="24"/>
        </w:rPr>
        <w:t xml:space="preserve"> moments magnétiques </w:t>
      </w:r>
      <w:r w:rsidR="00935964">
        <w:rPr>
          <w:sz w:val="24"/>
          <w:szCs w:val="24"/>
        </w:rPr>
        <w:t>étant</w:t>
      </w:r>
      <w:r>
        <w:rPr>
          <w:sz w:val="24"/>
          <w:szCs w:val="24"/>
        </w:rPr>
        <w:t xml:space="preserve"> fixés</w:t>
      </w:r>
      <w:r w:rsidR="00935964">
        <w:rPr>
          <w:sz w:val="24"/>
          <w:szCs w:val="24"/>
        </w:rPr>
        <w:t xml:space="preserve"> par la structure électronique, l’effet d’un champ extérieur ne peut être qu’un effet d’orientation. Plusieurs types de rotation sont à considérer.</w:t>
      </w:r>
    </w:p>
    <w:p w:rsidR="00935964" w:rsidRDefault="00935964" w:rsidP="00935964">
      <w:pPr>
        <w:spacing w:line="480" w:lineRule="auto"/>
        <w:rPr>
          <w:sz w:val="24"/>
          <w:szCs w:val="24"/>
        </w:rPr>
      </w:pPr>
      <w:r w:rsidRPr="00935964">
        <w:rPr>
          <w:b/>
          <w:sz w:val="28"/>
          <w:szCs w:val="28"/>
        </w:rPr>
        <w:t xml:space="preserve"> Orientation cohérente</w:t>
      </w:r>
      <w:r>
        <w:rPr>
          <w:b/>
          <w:sz w:val="28"/>
          <w:szCs w:val="28"/>
        </w:rPr>
        <w:t xml:space="preserve"> : </w:t>
      </w:r>
      <w:r w:rsidRPr="00935964">
        <w:rPr>
          <w:sz w:val="24"/>
          <w:szCs w:val="24"/>
        </w:rPr>
        <w:t>Les moments</w:t>
      </w:r>
      <w:r>
        <w:rPr>
          <w:b/>
          <w:sz w:val="28"/>
          <w:szCs w:val="28"/>
        </w:rPr>
        <w:t xml:space="preserve"> </w:t>
      </w:r>
      <w:r w:rsidRPr="00935964">
        <w:rPr>
          <w:sz w:val="24"/>
          <w:szCs w:val="24"/>
        </w:rPr>
        <w:t>initialement orientés</w:t>
      </w:r>
      <w:r>
        <w:rPr>
          <w:sz w:val="24"/>
          <w:szCs w:val="24"/>
        </w:rPr>
        <w:t xml:space="preserve"> dans les directions de facile aimantation du cristal peuvent tourner en bloc sous l’effet du ch</w:t>
      </w:r>
      <w:r w:rsidR="004F1E3A">
        <w:rPr>
          <w:sz w:val="24"/>
          <w:szCs w:val="24"/>
        </w:rPr>
        <w:t>a</w:t>
      </w:r>
      <w:r>
        <w:rPr>
          <w:sz w:val="24"/>
          <w:szCs w:val="24"/>
        </w:rPr>
        <w:t xml:space="preserve">mp extérieur appliqué, il </w:t>
      </w:r>
      <w:r>
        <w:rPr>
          <w:sz w:val="24"/>
          <w:szCs w:val="24"/>
        </w:rPr>
        <w:lastRenderedPageBreak/>
        <w:t>est d’autant plus</w:t>
      </w:r>
      <w:r w:rsidR="004F1E3A">
        <w:rPr>
          <w:sz w:val="24"/>
          <w:szCs w:val="24"/>
        </w:rPr>
        <w:t xml:space="preserve"> facile que l’anisotropie est plus faible. Il modifie l’énergie magnétostatique et ne devient important que dans les champs importants (approche à la saturation).</w:t>
      </w:r>
    </w:p>
    <w:p w:rsidR="004F1E3A" w:rsidRDefault="004F1E3A" w:rsidP="00935964">
      <w:pPr>
        <w:spacing w:line="480" w:lineRule="auto"/>
        <w:rPr>
          <w:sz w:val="24"/>
          <w:szCs w:val="24"/>
        </w:rPr>
      </w:pPr>
      <w:r w:rsidRPr="004F1E3A">
        <w:rPr>
          <w:b/>
          <w:sz w:val="28"/>
          <w:szCs w:val="28"/>
        </w:rPr>
        <w:t>Les déplacements de paroi :</w:t>
      </w:r>
      <w:r>
        <w:rPr>
          <w:b/>
          <w:sz w:val="28"/>
          <w:szCs w:val="28"/>
        </w:rPr>
        <w:t xml:space="preserve"> </w:t>
      </w:r>
      <w:r w:rsidRPr="004F1E3A">
        <w:rPr>
          <w:sz w:val="24"/>
          <w:szCs w:val="24"/>
        </w:rPr>
        <w:t>Sous l’effet du champ extérieur</w:t>
      </w:r>
      <w:r>
        <w:rPr>
          <w:sz w:val="24"/>
          <w:szCs w:val="24"/>
        </w:rPr>
        <w:t>, il peut y avoir rotation</w:t>
      </w:r>
      <w:r w:rsidR="00F9567D">
        <w:rPr>
          <w:sz w:val="24"/>
          <w:szCs w:val="24"/>
        </w:rPr>
        <w:t xml:space="preserve"> de quelques-uns des moments appartenant seulement à la paroi et son voisinage, ce qui correspond à un déplacement de la paroi.</w:t>
      </w:r>
    </w:p>
    <w:p w:rsidR="00F9567D" w:rsidRPr="00F9567D" w:rsidRDefault="00747921" w:rsidP="00935964">
      <w:pPr>
        <w:spacing w:line="480" w:lineRule="auto"/>
        <w:rPr>
          <w:sz w:val="24"/>
          <w:szCs w:val="24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1041148</wp:posOffset>
                </wp:positionH>
                <wp:positionV relativeFrom="paragraph">
                  <wp:posOffset>435011</wp:posOffset>
                </wp:positionV>
                <wp:extent cx="154737" cy="0"/>
                <wp:effectExtent l="0" t="76200" r="17145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82pt;margin-top:34.25pt;width:1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678839</wp:posOffset>
                </wp:positionH>
                <wp:positionV relativeFrom="paragraph">
                  <wp:posOffset>452264</wp:posOffset>
                </wp:positionV>
                <wp:extent cx="138023" cy="0"/>
                <wp:effectExtent l="0" t="76200" r="14605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2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53.45pt;margin-top:35.6pt;width:10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F9567D" w:rsidRPr="00F9567D">
        <w:rPr>
          <w:b/>
          <w:sz w:val="28"/>
          <w:szCs w:val="28"/>
        </w:rPr>
        <w:t>Cas d’un modèle à une seule paroi</w:t>
      </w:r>
      <w:r w:rsidR="00F9567D">
        <w:rPr>
          <w:b/>
          <w:sz w:val="28"/>
          <w:szCs w:val="28"/>
        </w:rPr>
        <w:t xml:space="preserve">: </w:t>
      </w:r>
      <w:r w:rsidR="00F9567D">
        <w:rPr>
          <w:sz w:val="24"/>
          <w:szCs w:val="24"/>
        </w:rPr>
        <w:t>tout déplacement de la paroi qui sépare les domaines  J</w:t>
      </w:r>
      <w:r w:rsidR="00F9567D">
        <w:rPr>
          <w:sz w:val="24"/>
          <w:szCs w:val="24"/>
          <w:vertAlign w:val="subscript"/>
        </w:rPr>
        <w:t xml:space="preserve">S1  </w:t>
      </w:r>
      <w:r w:rsidR="00F9567D">
        <w:rPr>
          <w:sz w:val="24"/>
          <w:szCs w:val="24"/>
        </w:rPr>
        <w:t>et  J</w:t>
      </w:r>
      <w:r w:rsidR="00F9567D">
        <w:rPr>
          <w:sz w:val="24"/>
          <w:szCs w:val="24"/>
          <w:vertAlign w:val="subscript"/>
        </w:rPr>
        <w:t>S2</w:t>
      </w:r>
      <w:r w:rsidR="00F9567D">
        <w:rPr>
          <w:sz w:val="24"/>
          <w:szCs w:val="24"/>
        </w:rPr>
        <w:t xml:space="preserve">  sous l’effet du champ interne H</w:t>
      </w:r>
      <w:r w:rsidR="00F9567D">
        <w:rPr>
          <w:sz w:val="24"/>
          <w:szCs w:val="24"/>
          <w:vertAlign w:val="subscript"/>
        </w:rPr>
        <w:t xml:space="preserve">i </w:t>
      </w:r>
      <w:r w:rsidR="00F9567D">
        <w:rPr>
          <w:sz w:val="24"/>
          <w:szCs w:val="24"/>
        </w:rPr>
        <w:t xml:space="preserve"> entraîne une variation d’énergie par unité de surface.</w:t>
      </w:r>
    </w:p>
    <w:p w:rsidR="00935964" w:rsidRPr="00935964" w:rsidRDefault="00935964" w:rsidP="00935964">
      <w:pPr>
        <w:spacing w:line="480" w:lineRule="auto"/>
        <w:rPr>
          <w:b/>
          <w:sz w:val="28"/>
          <w:szCs w:val="28"/>
        </w:rPr>
      </w:pPr>
    </w:p>
    <w:p w:rsidR="00743F7A" w:rsidRDefault="0046669D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F7A">
        <w:rPr>
          <w:sz w:val="24"/>
          <w:szCs w:val="24"/>
        </w:rPr>
        <w:t xml:space="preserve">             </w:t>
      </w:r>
    </w:p>
    <w:p w:rsidR="00743F7A" w:rsidRPr="00743F7A" w:rsidRDefault="00743F7A" w:rsidP="00100051">
      <w:pPr>
        <w:pStyle w:val="Paragraphedelist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1352C" w:rsidRPr="00C85998" w:rsidRDefault="00B1352C" w:rsidP="00B1352C">
      <w:pPr>
        <w:spacing w:line="480" w:lineRule="auto"/>
        <w:rPr>
          <w:sz w:val="24"/>
          <w:szCs w:val="24"/>
        </w:rPr>
      </w:pPr>
    </w:p>
    <w:p w:rsidR="00691E3B" w:rsidRPr="00691E3B" w:rsidRDefault="00691E3B">
      <w:pPr>
        <w:rPr>
          <w:sz w:val="24"/>
          <w:szCs w:val="24"/>
        </w:rPr>
      </w:pPr>
    </w:p>
    <w:sectPr w:rsidR="00691E3B" w:rsidRPr="00691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83" w:rsidRDefault="00A33E83" w:rsidP="00C30556">
      <w:pPr>
        <w:spacing w:after="0" w:line="240" w:lineRule="auto"/>
      </w:pPr>
      <w:r>
        <w:separator/>
      </w:r>
    </w:p>
  </w:endnote>
  <w:endnote w:type="continuationSeparator" w:id="0">
    <w:p w:rsidR="00A33E83" w:rsidRDefault="00A33E83" w:rsidP="00C3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6" w:rsidRDefault="00C305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72868"/>
      <w:docPartObj>
        <w:docPartGallery w:val="Page Numbers (Bottom of Page)"/>
        <w:docPartUnique/>
      </w:docPartObj>
    </w:sdtPr>
    <w:sdtEndPr/>
    <w:sdtContent>
      <w:p w:rsidR="00C30556" w:rsidRDefault="00C3055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AE">
          <w:rPr>
            <w:noProof/>
          </w:rPr>
          <w:t>1</w:t>
        </w:r>
        <w:r>
          <w:fldChar w:fldCharType="end"/>
        </w:r>
      </w:p>
    </w:sdtContent>
  </w:sdt>
  <w:p w:rsidR="00C30556" w:rsidRDefault="00C3055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6" w:rsidRDefault="00C305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83" w:rsidRDefault="00A33E83" w:rsidP="00C30556">
      <w:pPr>
        <w:spacing w:after="0" w:line="240" w:lineRule="auto"/>
      </w:pPr>
      <w:r>
        <w:separator/>
      </w:r>
    </w:p>
  </w:footnote>
  <w:footnote w:type="continuationSeparator" w:id="0">
    <w:p w:rsidR="00A33E83" w:rsidRDefault="00A33E83" w:rsidP="00C3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6" w:rsidRDefault="00C305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6" w:rsidRDefault="00C3055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56" w:rsidRDefault="00C305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306"/>
    <w:multiLevelType w:val="hybridMultilevel"/>
    <w:tmpl w:val="EC3A261C"/>
    <w:lvl w:ilvl="0" w:tplc="7504A4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3B"/>
    <w:rsid w:val="0007293A"/>
    <w:rsid w:val="000A471B"/>
    <w:rsid w:val="000B4954"/>
    <w:rsid w:val="00100051"/>
    <w:rsid w:val="0015383B"/>
    <w:rsid w:val="001549C0"/>
    <w:rsid w:val="001723AE"/>
    <w:rsid w:val="00175167"/>
    <w:rsid w:val="003C1BA1"/>
    <w:rsid w:val="003E153C"/>
    <w:rsid w:val="0046669D"/>
    <w:rsid w:val="004F1E3A"/>
    <w:rsid w:val="00590E17"/>
    <w:rsid w:val="005D039E"/>
    <w:rsid w:val="005F7B20"/>
    <w:rsid w:val="0060678B"/>
    <w:rsid w:val="006067F7"/>
    <w:rsid w:val="00610BE2"/>
    <w:rsid w:val="00691E3B"/>
    <w:rsid w:val="00743F7A"/>
    <w:rsid w:val="00747921"/>
    <w:rsid w:val="007B05A1"/>
    <w:rsid w:val="00935964"/>
    <w:rsid w:val="00945E61"/>
    <w:rsid w:val="00A07881"/>
    <w:rsid w:val="00A33E83"/>
    <w:rsid w:val="00B1352C"/>
    <w:rsid w:val="00C30556"/>
    <w:rsid w:val="00C85998"/>
    <w:rsid w:val="00C90C6C"/>
    <w:rsid w:val="00DC1C6D"/>
    <w:rsid w:val="00E32F75"/>
    <w:rsid w:val="00EC72EF"/>
    <w:rsid w:val="00F9567D"/>
    <w:rsid w:val="00FA385A"/>
    <w:rsid w:val="00FB64EC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5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49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556"/>
  </w:style>
  <w:style w:type="paragraph" w:styleId="Pieddepage">
    <w:name w:val="footer"/>
    <w:basedOn w:val="Normal"/>
    <w:link w:val="PieddepageCar"/>
    <w:uiPriority w:val="99"/>
    <w:unhideWhenUsed/>
    <w:rsid w:val="00C3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5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49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556"/>
  </w:style>
  <w:style w:type="paragraph" w:styleId="Pieddepage">
    <w:name w:val="footer"/>
    <w:basedOn w:val="Normal"/>
    <w:link w:val="PieddepageCar"/>
    <w:uiPriority w:val="99"/>
    <w:unhideWhenUsed/>
    <w:rsid w:val="00C3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6AE4-53B5-4410-9CC8-25E0941C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 md.larbi</dc:creator>
  <cp:lastModifiedBy>mihoub md.larbi</cp:lastModifiedBy>
  <cp:revision>3</cp:revision>
  <dcterms:created xsi:type="dcterms:W3CDTF">2020-04-12T16:13:00Z</dcterms:created>
  <dcterms:modified xsi:type="dcterms:W3CDTF">2021-04-17T04:43:00Z</dcterms:modified>
</cp:coreProperties>
</file>