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8D" w:rsidRDefault="00CD048D" w:rsidP="00CD04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Deuxième méthode de </w:t>
      </w:r>
      <w:proofErr w:type="spellStart"/>
      <w:r>
        <w:rPr>
          <w:rFonts w:ascii="Arial" w:hAnsi="Arial" w:cs="Arial"/>
          <w:b/>
        </w:rPr>
        <w:t>Lyapunov</w:t>
      </w:r>
      <w:proofErr w:type="spellEnd"/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CD048D" w:rsidRDefault="00CD048D" w:rsidP="00CD048D">
      <w:pPr>
        <w:jc w:val="center"/>
        <w:rPr>
          <w:rFonts w:ascii="Arial" w:hAnsi="Arial" w:cs="Arial"/>
          <w:b/>
        </w:rPr>
      </w:pPr>
    </w:p>
    <w:p w:rsidR="00CD048D" w:rsidRDefault="00CD048D" w:rsidP="00CD04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4.3.1. Méthode de </w:t>
      </w:r>
      <w:proofErr w:type="spellStart"/>
      <w:r>
        <w:rPr>
          <w:rFonts w:ascii="Arial" w:hAnsi="Arial" w:cs="Arial"/>
          <w:b/>
        </w:rPr>
        <w:t>Krasovskii</w:t>
      </w:r>
      <w:proofErr w:type="spellEnd"/>
      <w:r>
        <w:rPr>
          <w:rFonts w:ascii="Arial" w:hAnsi="Arial" w:cs="Arial"/>
          <w:b/>
        </w:rPr>
        <w:t xml:space="preserve"> </w:t>
      </w:r>
    </w:p>
    <w:p w:rsidR="00CD048D" w:rsidRDefault="00CD048D" w:rsidP="00CD048D">
      <w:pPr>
        <w:jc w:val="both"/>
        <w:rPr>
          <w:rFonts w:ascii="Arial" w:hAnsi="Arial" w:cs="Arial"/>
          <w:b/>
        </w:rPr>
      </w:pPr>
    </w:p>
    <w:p w:rsidR="00CD048D" w:rsidRDefault="00CD048D" w:rsidP="00CD048D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deuxième méthode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pour l’étude de la stabilité d’un système non linéaire se base exclusivement sur l’utilisation d’une fonction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et l’application d’un des principaux théorèmes de la stabilité. </w:t>
      </w:r>
    </w:p>
    <w:p w:rsidR="00CD048D" w:rsidRDefault="00CD048D" w:rsidP="00CD048D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méthode de </w:t>
      </w:r>
      <w:proofErr w:type="spellStart"/>
      <w:r>
        <w:rPr>
          <w:rFonts w:ascii="Arial" w:hAnsi="Arial" w:cs="Arial"/>
        </w:rPr>
        <w:t>Krasovskii</w:t>
      </w:r>
      <w:proofErr w:type="spellEnd"/>
      <w:r>
        <w:rPr>
          <w:rFonts w:ascii="Arial" w:hAnsi="Arial" w:cs="Arial"/>
        </w:rPr>
        <w:t xml:space="preserve"> se classe dans la catégorie de ces méthodes, elle s’applique aux systèmes non linéaires à un seul état d’équilibre. </w:t>
      </w:r>
    </w:p>
    <w:p w:rsidR="00CD048D" w:rsidRDefault="00CD048D" w:rsidP="00CD048D">
      <w:pPr>
        <w:spacing w:line="360" w:lineRule="auto"/>
        <w:jc w:val="both"/>
        <w:rPr>
          <w:rFonts w:ascii="Arial" w:hAnsi="Arial" w:cs="Arial"/>
          <w:b/>
        </w:rPr>
      </w:pPr>
    </w:p>
    <w:p w:rsidR="00CD048D" w:rsidRDefault="00CD048D" w:rsidP="00CD048D">
      <w:pPr>
        <w:spacing w:line="360" w:lineRule="auto"/>
        <w:jc w:val="both"/>
        <w:rPr>
          <w:rFonts w:ascii="Arial" w:hAnsi="Arial" w:cs="Arial"/>
        </w:rPr>
      </w:pPr>
      <w:r w:rsidRPr="00DC3C53">
        <w:rPr>
          <w:rFonts w:ascii="Arial" w:hAnsi="Arial" w:cs="Arial"/>
          <w:b/>
        </w:rPr>
        <w:t>Théorème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Krasovsky</w:t>
      </w:r>
      <w:proofErr w:type="spellEnd"/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 : Si la matrice </w:t>
      </w:r>
      <w:r w:rsidRPr="00A7640B">
        <w:rPr>
          <w:rFonts w:ascii="Arial" w:hAnsi="Arial" w:cs="Arial"/>
          <w:position w:val="-10"/>
        </w:rPr>
        <w:object w:dxaOrig="2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85pt;height:18.8pt" o:ole="">
            <v:imagedata r:id="rId5" o:title=""/>
          </v:shape>
          <o:OLEObject Type="Embed" ProgID="Equation.3" ShapeID="_x0000_i1025" DrawAspect="Content" ObjectID="_1649159318" r:id="rId6"/>
        </w:object>
      </w:r>
      <w:r>
        <w:rPr>
          <w:rFonts w:ascii="Arial" w:hAnsi="Arial" w:cs="Arial"/>
        </w:rPr>
        <w:t xml:space="preserve"> est définie négative alors le système </w:t>
      </w:r>
      <w:r w:rsidRPr="009B768A">
        <w:rPr>
          <w:rFonts w:ascii="Arial" w:hAnsi="Arial" w:cs="Arial"/>
          <w:position w:val="-10"/>
        </w:rPr>
        <w:object w:dxaOrig="3159" w:dyaOrig="360">
          <v:shape id="_x0000_i1026" type="#_x0000_t75" style="width:157.75pt;height:18.15pt" o:ole="">
            <v:imagedata r:id="rId7" o:title=""/>
          </v:shape>
          <o:OLEObject Type="Embed" ProgID="Equation.3" ShapeID="_x0000_i1026" DrawAspect="Content" ObjectID="_1649159319" r:id="rId8"/>
        </w:object>
      </w:r>
      <w:r>
        <w:rPr>
          <w:rFonts w:ascii="Arial" w:hAnsi="Arial" w:cs="Arial"/>
        </w:rPr>
        <w:t xml:space="preserve"> est asymptotiquement stable. 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Où </w:t>
      </w:r>
      <w:r w:rsidRPr="00A7640B">
        <w:rPr>
          <w:rFonts w:ascii="Arial" w:hAnsi="Arial" w:cs="Arial"/>
          <w:position w:val="-10"/>
        </w:rPr>
        <w:object w:dxaOrig="620" w:dyaOrig="320">
          <v:shape id="_x0000_i1027" type="#_x0000_t75" style="width:31.3pt;height:16.3pt" o:ole="">
            <v:imagedata r:id="rId9" o:title=""/>
          </v:shape>
          <o:OLEObject Type="Embed" ProgID="Equation.3" ShapeID="_x0000_i1027" DrawAspect="Content" ObjectID="_1649159320" r:id="rId10"/>
        </w:object>
      </w:r>
      <w:r>
        <w:rPr>
          <w:rFonts w:ascii="Arial" w:hAnsi="Arial" w:cs="Arial"/>
        </w:rPr>
        <w:t xml:space="preserve"> est le </w:t>
      </w:r>
      <w:proofErr w:type="spellStart"/>
      <w:r>
        <w:rPr>
          <w:rFonts w:ascii="Arial" w:hAnsi="Arial" w:cs="Arial"/>
        </w:rPr>
        <w:t>Jacobien</w:t>
      </w:r>
      <w:proofErr w:type="spellEnd"/>
      <w:r>
        <w:rPr>
          <w:rFonts w:ascii="Arial" w:hAnsi="Arial" w:cs="Arial"/>
        </w:rPr>
        <w:t xml:space="preserve"> défini par</w:t>
      </w:r>
      <w:r w:rsidRPr="009D0D97">
        <w:rPr>
          <w:rFonts w:ascii="Arial" w:hAnsi="Arial" w:cs="Arial"/>
          <w:position w:val="-120"/>
        </w:rPr>
        <w:object w:dxaOrig="2600" w:dyaOrig="2520">
          <v:shape id="_x0000_i1028" type="#_x0000_t75" style="width:130.25pt;height:125.85pt" o:ole="">
            <v:imagedata r:id="rId11" o:title=""/>
          </v:shape>
          <o:OLEObject Type="Embed" ProgID="Equation.3" ShapeID="_x0000_i1028" DrawAspect="Content" ObjectID="_1649159321" r:id="rId12"/>
        </w:object>
      </w:r>
      <w:r>
        <w:rPr>
          <w:rFonts w:ascii="Arial" w:hAnsi="Arial" w:cs="Arial"/>
        </w:rPr>
        <w:t xml:space="preserve">                              (4.3)</w:t>
      </w:r>
    </w:p>
    <w:p w:rsidR="00CD048D" w:rsidRDefault="00CD048D" w:rsidP="00CD048D">
      <w:pPr>
        <w:jc w:val="both"/>
        <w:rPr>
          <w:rFonts w:ascii="Arial" w:hAnsi="Arial" w:cs="Arial"/>
          <w:b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L’équation algébrique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s’écrit alors  </w:t>
      </w:r>
      <w:proofErr w:type="gramStart"/>
      <w:r>
        <w:rPr>
          <w:rFonts w:ascii="Arial" w:hAnsi="Arial" w:cs="Arial"/>
        </w:rPr>
        <w:t>:</w:t>
      </w:r>
      <w:r w:rsidRPr="00A7640B">
        <w:rPr>
          <w:rFonts w:ascii="Arial" w:hAnsi="Arial" w:cs="Arial"/>
          <w:position w:val="-10"/>
        </w:rPr>
        <w:object w:dxaOrig="2100" w:dyaOrig="360">
          <v:shape id="_x0000_i1029" type="#_x0000_t75" style="width:105.2pt;height:18.15pt" o:ole="">
            <v:imagedata r:id="rId13" o:title=""/>
          </v:shape>
          <o:OLEObject Type="Embed" ProgID="Equation.3" ShapeID="_x0000_i1029" DrawAspect="Content" ObjectID="_1649159322" r:id="rId14"/>
        </w:objec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Pr="00D60098" w:rsidRDefault="00CD048D" w:rsidP="00CD048D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4. 3.2. Méthode de Schultz-Gibson    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Cette méthode est aussi appelée méthode du gradient variable. C’est une méthode générale. Elle s’applique aux systèmes ayant un ou plusieurs états d’équilibres. Elle consiste à rechercher une fonction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par intégration d’une équation différentielle aux dérivées partielles comme suit :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général, la dérivée de la fonction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 s’écrit: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  <w:r w:rsidRPr="006D7380">
        <w:rPr>
          <w:rFonts w:ascii="Arial" w:hAnsi="Arial" w:cs="Arial"/>
          <w:position w:val="-30"/>
        </w:rPr>
        <w:object w:dxaOrig="5080" w:dyaOrig="680">
          <v:shape id="_x0000_i1030" type="#_x0000_t75" style="width:254.2pt;height:33.8pt" o:ole="">
            <v:imagedata r:id="rId15" o:title=""/>
          </v:shape>
          <o:OLEObject Type="Embed" ProgID="Equation.3" ShapeID="_x0000_i1030" DrawAspect="Content" ObjectID="_1649159323" r:id="rId16"/>
        </w:object>
      </w:r>
      <w:r>
        <w:rPr>
          <w:rFonts w:ascii="Arial" w:hAnsi="Arial" w:cs="Arial"/>
        </w:rPr>
        <w:t xml:space="preserve">                                                  (4.5)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 encore :  </w:t>
      </w:r>
      <w:r w:rsidRPr="00716D47">
        <w:rPr>
          <w:rFonts w:ascii="Arial" w:hAnsi="Arial" w:cs="Arial"/>
          <w:position w:val="-24"/>
        </w:rPr>
        <w:object w:dxaOrig="3159" w:dyaOrig="620">
          <v:shape id="_x0000_i1031" type="#_x0000_t75" style="width:157.75pt;height:31.3pt" o:ole="">
            <v:imagedata r:id="rId17" o:title=""/>
          </v:shape>
          <o:OLEObject Type="Embed" ProgID="Equation.3" ShapeID="_x0000_i1031" DrawAspect="Content" ObjectID="_1649159324" r:id="rId18"/>
        </w:object>
      </w:r>
      <w:r>
        <w:rPr>
          <w:rFonts w:ascii="Arial" w:hAnsi="Arial" w:cs="Arial"/>
        </w:rPr>
        <w:t xml:space="preserve"> 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ce</w:t>
      </w:r>
      <w:proofErr w:type="gramEnd"/>
      <w:r>
        <w:rPr>
          <w:rFonts w:ascii="Arial" w:hAnsi="Arial" w:cs="Arial"/>
        </w:rPr>
        <w:t xml:space="preserve"> qui donne : </w:t>
      </w:r>
      <w:r w:rsidRPr="00716D47">
        <w:rPr>
          <w:rFonts w:ascii="Arial" w:hAnsi="Arial" w:cs="Arial"/>
          <w:position w:val="-10"/>
        </w:rPr>
        <w:object w:dxaOrig="3100" w:dyaOrig="360">
          <v:shape id="_x0000_i1032" type="#_x0000_t75" style="width:155.25pt;height:18.15pt" o:ole="">
            <v:imagedata r:id="rId19" o:title=""/>
          </v:shape>
          <o:OLEObject Type="Embed" ProgID="Equation.3" ShapeID="_x0000_i1032" DrawAspect="Content" ObjectID="_1649159325" r:id="rId20"/>
        </w:object>
      </w:r>
      <w:r>
        <w:rPr>
          <w:rFonts w:ascii="Arial" w:hAnsi="Arial" w:cs="Arial"/>
        </w:rPr>
        <w:t xml:space="preserve">                                                       (4.6)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avec </w:t>
      </w:r>
      <w:proofErr w:type="gramEnd"/>
      <w:r w:rsidRPr="00716D47">
        <w:rPr>
          <w:rFonts w:ascii="Arial" w:hAnsi="Arial" w:cs="Arial"/>
          <w:position w:val="-10"/>
        </w:rPr>
        <w:object w:dxaOrig="1540" w:dyaOrig="360">
          <v:shape id="_x0000_i1033" type="#_x0000_t75" style="width:77pt;height:18.15pt" o:ole="">
            <v:imagedata r:id="rId21" o:title=""/>
          </v:shape>
          <o:OLEObject Type="Embed" ProgID="Equation.3" ShapeID="_x0000_i1033" DrawAspect="Content" ObjectID="_1649159326" r:id="rId22"/>
        </w:object>
      </w:r>
      <w:r>
        <w:rPr>
          <w:rFonts w:ascii="Arial" w:hAnsi="Arial" w:cs="Arial"/>
        </w:rPr>
        <w:t xml:space="preserve">. 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Alors la fonction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</w:t>
      </w:r>
      <w:r w:rsidRPr="00716D47">
        <w:rPr>
          <w:rFonts w:ascii="Arial" w:hAnsi="Arial" w:cs="Arial"/>
          <w:position w:val="-10"/>
        </w:rPr>
        <w:object w:dxaOrig="620" w:dyaOrig="320">
          <v:shape id="_x0000_i1034" type="#_x0000_t75" style="width:31.3pt;height:16.3pt" o:ole="">
            <v:imagedata r:id="rId23" o:title=""/>
          </v:shape>
          <o:OLEObject Type="Embed" ProgID="Equation.3" ShapeID="_x0000_i1034" DrawAspect="Content" ObjectID="_1649159327" r:id="rId24"/>
        </w:object>
      </w:r>
      <w:r>
        <w:rPr>
          <w:rFonts w:ascii="Arial" w:hAnsi="Arial" w:cs="Arial"/>
        </w:rPr>
        <w:t xml:space="preserve"> solution est obtenue par intégration de cette dernière équation différentielle.  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  <w:r w:rsidRPr="00716D47">
        <w:rPr>
          <w:rFonts w:ascii="Arial" w:hAnsi="Arial" w:cs="Arial"/>
          <w:position w:val="-32"/>
        </w:rPr>
        <w:object w:dxaOrig="3240" w:dyaOrig="760">
          <v:shape id="_x0000_i1035" type="#_x0000_t75" style="width:162.15pt;height:38.2pt" o:ole="">
            <v:imagedata r:id="rId25" o:title=""/>
          </v:shape>
          <o:OLEObject Type="Embed" ProgID="Equation.3" ShapeID="_x0000_i1035" DrawAspect="Content" ObjectID="_1649159328" r:id="rId26"/>
        </w:object>
      </w:r>
      <w:r>
        <w:rPr>
          <w:rFonts w:ascii="Arial" w:hAnsi="Arial" w:cs="Arial"/>
        </w:rPr>
        <w:t xml:space="preserve">                                                                            (4.7)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Ou encore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</w:rPr>
      </w:pPr>
      <w:r w:rsidRPr="00AE779B">
        <w:rPr>
          <w:rFonts w:ascii="Arial" w:hAnsi="Arial" w:cs="Arial"/>
          <w:position w:val="-32"/>
        </w:rPr>
        <w:object w:dxaOrig="5660" w:dyaOrig="780">
          <v:shape id="_x0000_i1036" type="#_x0000_t75" style="width:283pt;height:38.8pt" o:ole="">
            <v:imagedata r:id="rId27" o:title=""/>
          </v:shape>
          <o:OLEObject Type="Embed" ProgID="Equation.3" ShapeID="_x0000_i1036" DrawAspect="Content" ObjectID="_1649159329" r:id="rId28"/>
        </w:object>
      </w:r>
      <w:r>
        <w:rPr>
          <w:rFonts w:ascii="Arial" w:hAnsi="Arial" w:cs="Arial"/>
        </w:rPr>
        <w:t xml:space="preserve">                                       (4.11)</w:t>
      </w:r>
    </w:p>
    <w:p w:rsidR="00CD048D" w:rsidRDefault="00CD048D" w:rsidP="00CD048D">
      <w:pPr>
        <w:jc w:val="both"/>
        <w:rPr>
          <w:rFonts w:ascii="Arial" w:hAnsi="Arial" w:cs="Arial"/>
        </w:rPr>
      </w:pPr>
    </w:p>
    <w:p w:rsidR="00CD048D" w:rsidRDefault="00CD048D" w:rsidP="00CD048D">
      <w:pPr>
        <w:jc w:val="both"/>
        <w:rPr>
          <w:rFonts w:ascii="Arial" w:hAnsi="Arial" w:cs="Arial"/>
          <w:b/>
        </w:rPr>
      </w:pPr>
    </w:p>
    <w:p w:rsidR="00CD048D" w:rsidRDefault="00CD048D" w:rsidP="00CD048D">
      <w:pPr>
        <w:spacing w:line="360" w:lineRule="auto"/>
        <w:jc w:val="both"/>
        <w:rPr>
          <w:rFonts w:ascii="Arial" w:hAnsi="Arial" w:cs="Arial"/>
        </w:rPr>
      </w:pPr>
      <w:r w:rsidRPr="00D75783">
        <w:rPr>
          <w:rFonts w:ascii="Arial" w:hAnsi="Arial" w:cs="Arial"/>
          <w:b/>
        </w:rPr>
        <w:t>Conclusion 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La deuxième méthode de </w:t>
      </w:r>
      <w:proofErr w:type="spellStart"/>
      <w:r>
        <w:rPr>
          <w:rFonts w:ascii="Arial" w:hAnsi="Arial" w:cs="Arial"/>
        </w:rPr>
        <w:t>Lyapunov</w:t>
      </w:r>
      <w:proofErr w:type="spellEnd"/>
      <w:r>
        <w:rPr>
          <w:rFonts w:ascii="Arial" w:hAnsi="Arial" w:cs="Arial"/>
        </w:rPr>
        <w:t xml:space="preserve"> permet d’étudier la stabilité (asymptotique, global, uniforme) d’un système sans résoudre explicitement ses équations mathématiques. </w:t>
      </w:r>
    </w:p>
    <w:p w:rsidR="00CD048D" w:rsidRDefault="00CD048D" w:rsidP="00CD048D">
      <w:pPr>
        <w:spacing w:line="360" w:lineRule="auto"/>
        <w:jc w:val="both"/>
        <w:rPr>
          <w:rFonts w:ascii="Arial" w:hAnsi="Arial" w:cs="Arial"/>
        </w:rPr>
      </w:pPr>
    </w:p>
    <w:p w:rsidR="00283B6A" w:rsidRDefault="00283B6A"/>
    <w:sectPr w:rsidR="0028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8D"/>
    <w:rsid w:val="00283B6A"/>
    <w:rsid w:val="00C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Bachir</dc:creator>
  <cp:lastModifiedBy>Bachir</cp:lastModifiedBy>
  <cp:revision>1</cp:revision>
  <dcterms:created xsi:type="dcterms:W3CDTF">2020-04-23T14:01:00Z</dcterms:created>
  <dcterms:modified xsi:type="dcterms:W3CDTF">2020-04-23T14:02:00Z</dcterms:modified>
</cp:coreProperties>
</file>